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曹红亮</w:t>
      </w:r>
      <w:r>
        <w:rPr>
          <w:rFonts w:hint="eastAsia"/>
          <w:sz w:val="15"/>
          <w:szCs w:val="15"/>
          <w:highlight w:val="none"/>
        </w:rPr>
        <w:t>，</w:t>
      </w:r>
      <w:r>
        <w:rPr>
          <w:rFonts w:hint="eastAsia"/>
          <w:sz w:val="15"/>
          <w:szCs w:val="15"/>
          <w:highlight w:val="none"/>
          <w:lang w:val="en-US" w:eastAsia="zh-CN"/>
        </w:rPr>
        <w:t>131127197005123614</w:t>
      </w:r>
      <w:r>
        <w:rPr>
          <w:rFonts w:hint="eastAsia"/>
          <w:sz w:val="15"/>
          <w:szCs w:val="15"/>
        </w:rPr>
        <w:t xml:space="preserve">  </w:t>
      </w:r>
      <w:r>
        <w:rPr>
          <w:rFonts w:hint="eastAsia"/>
          <w:sz w:val="15"/>
          <w:szCs w:val="15"/>
          <w:lang w:val="en-US" w:eastAsia="zh-CN"/>
        </w:rPr>
        <w:t>冀TN2167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