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尹建通</w:t>
      </w:r>
      <w:r>
        <w:rPr>
          <w:rFonts w:hint="eastAsia"/>
          <w:sz w:val="15"/>
          <w:szCs w:val="15"/>
          <w:highlight w:val="none"/>
        </w:rPr>
        <w:t>，</w:t>
      </w:r>
      <w:r>
        <w:rPr>
          <w:rFonts w:hint="eastAsia"/>
          <w:sz w:val="15"/>
          <w:szCs w:val="15"/>
          <w:highlight w:val="none"/>
          <w:lang w:val="en-US" w:eastAsia="zh-CN"/>
        </w:rPr>
        <w:t>133024197309261618</w:t>
      </w:r>
      <w:r>
        <w:rPr>
          <w:rFonts w:hint="eastAsia"/>
          <w:sz w:val="15"/>
          <w:szCs w:val="15"/>
        </w:rPr>
        <w:t xml:space="preserve">  </w:t>
      </w:r>
      <w:r>
        <w:rPr>
          <w:rFonts w:hint="eastAsia"/>
          <w:sz w:val="15"/>
          <w:szCs w:val="15"/>
          <w:lang w:val="en-US" w:eastAsia="zh-CN"/>
        </w:rPr>
        <w:t>冀TN9566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