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周向坤</w:t>
      </w:r>
      <w:r>
        <w:rPr>
          <w:rFonts w:hint="eastAsia"/>
          <w:sz w:val="15"/>
          <w:szCs w:val="15"/>
          <w:highlight w:val="none"/>
        </w:rPr>
        <w:t>，</w:t>
      </w:r>
      <w:r>
        <w:rPr>
          <w:rFonts w:hint="eastAsia"/>
          <w:sz w:val="15"/>
          <w:szCs w:val="15"/>
          <w:highlight w:val="none"/>
          <w:lang w:val="en-US" w:eastAsia="zh-CN"/>
        </w:rPr>
        <w:t>130123198106213318</w:t>
      </w:r>
      <w:r>
        <w:rPr>
          <w:rFonts w:hint="eastAsia"/>
          <w:sz w:val="15"/>
          <w:szCs w:val="15"/>
        </w:rPr>
        <w:t xml:space="preserve">  </w:t>
      </w:r>
      <w:r>
        <w:rPr>
          <w:rFonts w:hint="eastAsia"/>
          <w:sz w:val="15"/>
          <w:szCs w:val="15"/>
          <w:lang w:val="en-US" w:eastAsia="zh-CN"/>
        </w:rPr>
        <w:t>冀ADA271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