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郑建方</w:t>
      </w:r>
      <w:r>
        <w:rPr>
          <w:rFonts w:hint="eastAsia"/>
          <w:sz w:val="15"/>
          <w:szCs w:val="15"/>
          <w:highlight w:val="none"/>
        </w:rPr>
        <w:t>，</w:t>
      </w:r>
      <w:r>
        <w:rPr>
          <w:rFonts w:hint="eastAsia"/>
          <w:sz w:val="15"/>
          <w:szCs w:val="15"/>
          <w:highlight w:val="none"/>
          <w:lang w:val="en-US" w:eastAsia="zh-CN"/>
        </w:rPr>
        <w:t>130524196712025017</w:t>
      </w:r>
      <w:r>
        <w:rPr>
          <w:rFonts w:hint="eastAsia"/>
          <w:sz w:val="15"/>
          <w:szCs w:val="15"/>
        </w:rPr>
        <w:t xml:space="preserve">  </w:t>
      </w:r>
      <w:r>
        <w:rPr>
          <w:rFonts w:hint="eastAsia"/>
          <w:sz w:val="15"/>
          <w:szCs w:val="15"/>
          <w:lang w:val="en-US" w:eastAsia="zh-CN"/>
        </w:rPr>
        <w:t>冀A42851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