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窦长森</w:t>
      </w:r>
      <w:r>
        <w:rPr>
          <w:rFonts w:hint="eastAsia"/>
          <w:sz w:val="15"/>
          <w:szCs w:val="15"/>
          <w:highlight w:val="none"/>
        </w:rPr>
        <w:t>，</w:t>
      </w:r>
      <w:r>
        <w:rPr>
          <w:rFonts w:hint="eastAsia"/>
          <w:sz w:val="15"/>
          <w:szCs w:val="15"/>
          <w:highlight w:val="none"/>
          <w:lang w:val="en-US" w:eastAsia="zh-CN"/>
        </w:rPr>
        <w:t>220503197012310516</w:t>
      </w:r>
      <w:r>
        <w:rPr>
          <w:rFonts w:hint="eastAsia"/>
          <w:sz w:val="15"/>
          <w:szCs w:val="15"/>
        </w:rPr>
        <w:t xml:space="preserve">  </w:t>
      </w:r>
      <w:r>
        <w:rPr>
          <w:rFonts w:hint="eastAsia"/>
          <w:sz w:val="15"/>
          <w:szCs w:val="15"/>
          <w:lang w:val="en-US" w:eastAsia="zh-CN"/>
        </w:rPr>
        <w:t>冀AZT776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