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李秋英</w:t>
      </w:r>
      <w:r>
        <w:rPr>
          <w:rFonts w:hint="eastAsia"/>
          <w:sz w:val="15"/>
          <w:szCs w:val="15"/>
          <w:highlight w:val="none"/>
        </w:rPr>
        <w:t>，</w:t>
      </w:r>
      <w:r>
        <w:rPr>
          <w:rFonts w:hint="eastAsia"/>
          <w:sz w:val="15"/>
          <w:szCs w:val="15"/>
          <w:highlight w:val="none"/>
          <w:lang w:val="en-US" w:eastAsia="zh-CN"/>
        </w:rPr>
        <w:t>13233519810913172X</w:t>
      </w:r>
      <w:r>
        <w:rPr>
          <w:rFonts w:hint="eastAsia"/>
          <w:sz w:val="15"/>
          <w:szCs w:val="15"/>
        </w:rPr>
        <w:t xml:space="preserve">  </w:t>
      </w:r>
      <w:r>
        <w:rPr>
          <w:rFonts w:hint="eastAsia"/>
          <w:sz w:val="15"/>
          <w:szCs w:val="15"/>
          <w:lang w:val="en-US" w:eastAsia="zh-CN"/>
        </w:rPr>
        <w:t>冀AZT007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