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韦国青</w:t>
      </w:r>
      <w:r>
        <w:rPr>
          <w:rFonts w:hint="eastAsia"/>
          <w:sz w:val="15"/>
          <w:szCs w:val="15"/>
          <w:highlight w:val="none"/>
        </w:rPr>
        <w:t>，</w:t>
      </w:r>
      <w:r>
        <w:rPr>
          <w:rFonts w:hint="eastAsia"/>
          <w:sz w:val="15"/>
          <w:szCs w:val="15"/>
          <w:highlight w:val="none"/>
          <w:lang w:val="en-US" w:eastAsia="zh-CN"/>
        </w:rPr>
        <w:t>130123198005163614</w:t>
      </w:r>
      <w:r>
        <w:rPr>
          <w:rFonts w:hint="eastAsia"/>
          <w:sz w:val="15"/>
          <w:szCs w:val="15"/>
        </w:rPr>
        <w:t xml:space="preserve">  </w:t>
      </w:r>
      <w:r>
        <w:rPr>
          <w:rFonts w:hint="eastAsia"/>
          <w:sz w:val="15"/>
          <w:szCs w:val="15"/>
          <w:lang w:val="en-US" w:eastAsia="zh-CN"/>
        </w:rPr>
        <w:t>冀AKZ989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