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刘明霞</w:t>
      </w:r>
      <w:r>
        <w:rPr>
          <w:rFonts w:hint="eastAsia"/>
          <w:sz w:val="15"/>
          <w:szCs w:val="15"/>
          <w:highlight w:val="none"/>
        </w:rPr>
        <w:t>，</w:t>
      </w:r>
      <w:r>
        <w:rPr>
          <w:rFonts w:hint="eastAsia"/>
          <w:sz w:val="15"/>
          <w:szCs w:val="15"/>
          <w:highlight w:val="none"/>
          <w:lang w:val="en-US" w:eastAsia="zh-CN"/>
        </w:rPr>
        <w:t>130126198607260621</w:t>
      </w:r>
      <w:r>
        <w:rPr>
          <w:rFonts w:hint="eastAsia"/>
          <w:sz w:val="15"/>
          <w:szCs w:val="15"/>
        </w:rPr>
        <w:t xml:space="preserve">  </w:t>
      </w:r>
      <w:r>
        <w:rPr>
          <w:rFonts w:hint="eastAsia"/>
          <w:sz w:val="15"/>
          <w:szCs w:val="15"/>
          <w:lang w:val="en-US" w:eastAsia="zh-CN"/>
        </w:rPr>
        <w:t>冀A37280D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