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李然然</w:t>
      </w:r>
      <w:r>
        <w:rPr>
          <w:rFonts w:hint="eastAsia"/>
          <w:sz w:val="15"/>
          <w:szCs w:val="15"/>
          <w:highlight w:val="none"/>
        </w:rPr>
        <w:t>，</w:t>
      </w:r>
      <w:r>
        <w:rPr>
          <w:rFonts w:hint="eastAsia"/>
          <w:sz w:val="15"/>
          <w:szCs w:val="15"/>
          <w:highlight w:val="none"/>
          <w:lang w:val="en-US" w:eastAsia="zh-CN"/>
        </w:rPr>
        <w:t>130123197907157542</w:t>
      </w:r>
      <w:r>
        <w:rPr>
          <w:rFonts w:hint="eastAsia"/>
          <w:sz w:val="15"/>
          <w:szCs w:val="15"/>
        </w:rPr>
        <w:t xml:space="preserve">  </w:t>
      </w:r>
      <w:r>
        <w:rPr>
          <w:rFonts w:hint="eastAsia"/>
          <w:sz w:val="15"/>
          <w:szCs w:val="15"/>
          <w:lang w:val="en-US" w:eastAsia="zh-CN"/>
        </w:rPr>
        <w:t>冀AV3149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