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白冉</w:t>
      </w:r>
      <w:r>
        <w:rPr>
          <w:rFonts w:hint="eastAsia"/>
          <w:sz w:val="15"/>
          <w:szCs w:val="15"/>
          <w:highlight w:val="none"/>
        </w:rPr>
        <w:t>，</w:t>
      </w:r>
      <w:r>
        <w:rPr>
          <w:rFonts w:hint="eastAsia"/>
          <w:sz w:val="15"/>
          <w:szCs w:val="15"/>
          <w:highlight w:val="none"/>
          <w:lang w:val="en-US" w:eastAsia="zh-CN"/>
        </w:rPr>
        <w:t>130126199405170323</w:t>
      </w:r>
      <w:r>
        <w:rPr>
          <w:rFonts w:hint="eastAsia"/>
          <w:sz w:val="15"/>
          <w:szCs w:val="15"/>
        </w:rPr>
        <w:t xml:space="preserve">  </w:t>
      </w:r>
      <w:r>
        <w:rPr>
          <w:rFonts w:hint="eastAsia"/>
          <w:sz w:val="15"/>
          <w:szCs w:val="15"/>
          <w:lang w:val="en-US" w:eastAsia="zh-CN"/>
        </w:rPr>
        <w:t>冀A8343Y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