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张海兰</w:t>
      </w:r>
      <w:r>
        <w:rPr>
          <w:rFonts w:hint="eastAsia"/>
          <w:sz w:val="15"/>
          <w:szCs w:val="15"/>
          <w:highlight w:val="none"/>
        </w:rPr>
        <w:t>，</w:t>
      </w:r>
      <w:r>
        <w:rPr>
          <w:rFonts w:hint="eastAsia"/>
          <w:sz w:val="15"/>
          <w:szCs w:val="15"/>
          <w:highlight w:val="none"/>
          <w:lang w:val="en-US" w:eastAsia="zh-CN"/>
        </w:rPr>
        <w:t>130221198301228323</w:t>
      </w:r>
      <w:r>
        <w:rPr>
          <w:rFonts w:hint="eastAsia"/>
          <w:sz w:val="15"/>
          <w:szCs w:val="15"/>
        </w:rPr>
        <w:t xml:space="preserve">  </w:t>
      </w:r>
      <w:r>
        <w:rPr>
          <w:rFonts w:hint="eastAsia"/>
          <w:sz w:val="15"/>
          <w:szCs w:val="15"/>
          <w:lang w:val="en-US" w:eastAsia="zh-CN"/>
        </w:rPr>
        <w:t>冀B7998N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