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朱大宇</w:t>
      </w:r>
      <w:r>
        <w:rPr>
          <w:rFonts w:hint="eastAsia"/>
          <w:sz w:val="15"/>
          <w:szCs w:val="15"/>
          <w:highlight w:val="none"/>
        </w:rPr>
        <w:t>，</w:t>
      </w:r>
      <w:r>
        <w:rPr>
          <w:rFonts w:hint="eastAsia"/>
          <w:sz w:val="15"/>
          <w:szCs w:val="15"/>
          <w:highlight w:val="none"/>
          <w:lang w:val="en-US" w:eastAsia="zh-CN"/>
        </w:rPr>
        <w:t>210811198608180512</w:t>
      </w:r>
      <w:r>
        <w:rPr>
          <w:rFonts w:hint="eastAsia"/>
          <w:sz w:val="15"/>
          <w:szCs w:val="15"/>
        </w:rPr>
        <w:t xml:space="preserve">  </w:t>
      </w:r>
      <w:r>
        <w:rPr>
          <w:rFonts w:hint="eastAsia"/>
          <w:sz w:val="15"/>
          <w:szCs w:val="15"/>
          <w:lang w:val="en-US" w:eastAsia="zh-CN"/>
        </w:rPr>
        <w:t>辽HM1521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