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李红扬</w:t>
      </w:r>
      <w:r>
        <w:rPr>
          <w:rFonts w:hint="eastAsia"/>
          <w:sz w:val="15"/>
          <w:szCs w:val="15"/>
          <w:highlight w:val="none"/>
        </w:rPr>
        <w:t>，</w:t>
      </w:r>
      <w:r>
        <w:rPr>
          <w:rFonts w:hint="eastAsia"/>
          <w:sz w:val="15"/>
          <w:szCs w:val="15"/>
          <w:highlight w:val="none"/>
          <w:lang w:val="en-US" w:eastAsia="zh-CN"/>
        </w:rPr>
        <w:t>13022319891113436X</w:t>
      </w:r>
      <w:r>
        <w:rPr>
          <w:rFonts w:hint="eastAsia"/>
          <w:sz w:val="15"/>
          <w:szCs w:val="15"/>
        </w:rPr>
        <w:t xml:space="preserve">  </w:t>
      </w:r>
      <w:r>
        <w:rPr>
          <w:rFonts w:hint="eastAsia"/>
          <w:sz w:val="15"/>
          <w:szCs w:val="15"/>
          <w:lang w:val="en-US" w:eastAsia="zh-CN"/>
        </w:rPr>
        <w:t>冀C73267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