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张瑞军</w:t>
      </w:r>
      <w:r>
        <w:rPr>
          <w:rFonts w:hint="eastAsia"/>
          <w:sz w:val="15"/>
          <w:szCs w:val="15"/>
          <w:highlight w:val="none"/>
        </w:rPr>
        <w:t>，</w:t>
      </w:r>
      <w:r>
        <w:rPr>
          <w:rFonts w:hint="eastAsia"/>
          <w:sz w:val="15"/>
          <w:szCs w:val="15"/>
          <w:highlight w:val="none"/>
          <w:lang w:val="en-US" w:eastAsia="zh-CN"/>
        </w:rPr>
        <w:t>130529197207135326</w:t>
      </w:r>
      <w:r>
        <w:rPr>
          <w:rFonts w:hint="eastAsia"/>
          <w:sz w:val="15"/>
          <w:szCs w:val="15"/>
        </w:rPr>
        <w:t xml:space="preserve">  </w:t>
      </w:r>
      <w:r>
        <w:rPr>
          <w:rFonts w:hint="eastAsia"/>
          <w:sz w:val="15"/>
          <w:szCs w:val="15"/>
          <w:lang w:val="en-US" w:eastAsia="zh-CN"/>
        </w:rPr>
        <w:t>冀EX5017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