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王彤</w:t>
      </w:r>
      <w:r>
        <w:rPr>
          <w:rFonts w:hint="eastAsia"/>
          <w:sz w:val="15"/>
          <w:szCs w:val="15"/>
          <w:highlight w:val="none"/>
        </w:rPr>
        <w:t>，</w:t>
      </w:r>
      <w:r>
        <w:rPr>
          <w:rFonts w:hint="eastAsia"/>
          <w:sz w:val="15"/>
          <w:szCs w:val="15"/>
          <w:highlight w:val="none"/>
          <w:lang w:val="en-US" w:eastAsia="zh-CN"/>
        </w:rPr>
        <w:t>230822197907045829</w:t>
      </w:r>
      <w:r>
        <w:rPr>
          <w:rFonts w:hint="eastAsia"/>
          <w:sz w:val="15"/>
          <w:szCs w:val="15"/>
        </w:rPr>
        <w:t xml:space="preserve">  </w:t>
      </w:r>
      <w:r>
        <w:rPr>
          <w:rFonts w:hint="eastAsia"/>
          <w:sz w:val="15"/>
          <w:szCs w:val="15"/>
          <w:lang w:val="en-US" w:eastAsia="zh-CN"/>
        </w:rPr>
        <w:t>冀B6T583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