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战兴松</w:t>
      </w:r>
      <w:r>
        <w:rPr>
          <w:rFonts w:hint="eastAsia"/>
          <w:sz w:val="15"/>
          <w:szCs w:val="15"/>
          <w:highlight w:val="none"/>
        </w:rPr>
        <w:t>，</w:t>
      </w:r>
      <w:r>
        <w:rPr>
          <w:rFonts w:hint="eastAsia"/>
          <w:sz w:val="15"/>
          <w:szCs w:val="15"/>
          <w:highlight w:val="none"/>
          <w:lang w:val="en-US" w:eastAsia="zh-CN"/>
        </w:rPr>
        <w:t>210811197505060011</w:t>
      </w:r>
      <w:r>
        <w:rPr>
          <w:rFonts w:hint="eastAsia"/>
          <w:sz w:val="15"/>
          <w:szCs w:val="15"/>
        </w:rPr>
        <w:t xml:space="preserve">  </w:t>
      </w:r>
      <w:r>
        <w:rPr>
          <w:rFonts w:hint="eastAsia"/>
          <w:sz w:val="15"/>
          <w:szCs w:val="15"/>
          <w:lang w:val="en-US" w:eastAsia="zh-CN"/>
        </w:rPr>
        <w:t>辽HB1512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