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孙晓虎</w:t>
      </w:r>
      <w:r>
        <w:rPr>
          <w:rFonts w:hint="eastAsia"/>
          <w:sz w:val="15"/>
          <w:szCs w:val="15"/>
          <w:highlight w:val="none"/>
        </w:rPr>
        <w:t>，</w:t>
      </w:r>
      <w:r>
        <w:rPr>
          <w:rFonts w:hint="eastAsia"/>
          <w:sz w:val="15"/>
          <w:szCs w:val="15"/>
          <w:highlight w:val="none"/>
          <w:lang w:val="en-US" w:eastAsia="zh-CN"/>
        </w:rPr>
        <w:t>13052919860920531X</w:t>
      </w:r>
      <w:r>
        <w:rPr>
          <w:rFonts w:hint="eastAsia"/>
          <w:sz w:val="15"/>
          <w:szCs w:val="15"/>
        </w:rPr>
        <w:t xml:space="preserve">  </w:t>
      </w:r>
      <w:r>
        <w:rPr>
          <w:rFonts w:hint="eastAsia"/>
          <w:sz w:val="15"/>
          <w:szCs w:val="15"/>
          <w:lang w:val="en-US" w:eastAsia="zh-CN"/>
        </w:rPr>
        <w:t>冀EQ4777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