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郑立阳</w:t>
      </w:r>
      <w:r>
        <w:rPr>
          <w:rFonts w:hint="eastAsia"/>
          <w:sz w:val="15"/>
          <w:szCs w:val="15"/>
          <w:highlight w:val="none"/>
        </w:rPr>
        <w:t>，</w:t>
      </w:r>
      <w:r>
        <w:rPr>
          <w:rFonts w:hint="eastAsia"/>
          <w:sz w:val="15"/>
          <w:szCs w:val="15"/>
          <w:highlight w:val="none"/>
          <w:lang w:val="en-US" w:eastAsia="zh-CN"/>
        </w:rPr>
        <w:t>130283199112257356</w:t>
      </w:r>
      <w:r>
        <w:rPr>
          <w:rFonts w:hint="eastAsia"/>
          <w:sz w:val="15"/>
          <w:szCs w:val="15"/>
        </w:rPr>
        <w:t xml:space="preserve">  </w:t>
      </w:r>
      <w:r>
        <w:rPr>
          <w:rFonts w:hint="eastAsia"/>
          <w:sz w:val="15"/>
          <w:szCs w:val="15"/>
          <w:lang w:val="en-US" w:eastAsia="zh-CN"/>
        </w:rPr>
        <w:t>冀B5M281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