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潘国友</w:t>
      </w:r>
      <w:r>
        <w:rPr>
          <w:rFonts w:hint="eastAsia"/>
          <w:sz w:val="15"/>
          <w:szCs w:val="15"/>
          <w:highlight w:val="none"/>
        </w:rPr>
        <w:t>，</w:t>
      </w:r>
      <w:r>
        <w:rPr>
          <w:rFonts w:hint="eastAsia"/>
          <w:sz w:val="15"/>
          <w:szCs w:val="15"/>
          <w:highlight w:val="none"/>
          <w:lang w:val="en-US" w:eastAsia="zh-CN"/>
        </w:rPr>
        <w:t>210882197609046412</w:t>
      </w:r>
      <w:r>
        <w:rPr>
          <w:rFonts w:hint="eastAsia"/>
          <w:sz w:val="15"/>
          <w:szCs w:val="15"/>
        </w:rPr>
        <w:t xml:space="preserve">  </w:t>
      </w:r>
      <w:r>
        <w:rPr>
          <w:rFonts w:hint="eastAsia"/>
          <w:sz w:val="15"/>
          <w:szCs w:val="15"/>
          <w:lang w:val="en-US" w:eastAsia="zh-CN"/>
        </w:rPr>
        <w:t>辽HH8826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