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王宏伟</w:t>
      </w:r>
      <w:r>
        <w:rPr>
          <w:rFonts w:hint="eastAsia"/>
          <w:sz w:val="15"/>
          <w:szCs w:val="15"/>
          <w:highlight w:val="none"/>
        </w:rPr>
        <w:t>，</w:t>
      </w:r>
      <w:r>
        <w:rPr>
          <w:rFonts w:hint="eastAsia"/>
          <w:sz w:val="15"/>
          <w:szCs w:val="15"/>
          <w:highlight w:val="none"/>
          <w:lang w:val="en-US" w:eastAsia="zh-CN"/>
        </w:rPr>
        <w:t>130324198508060622</w:t>
      </w:r>
      <w:r>
        <w:rPr>
          <w:rFonts w:hint="eastAsia"/>
          <w:sz w:val="15"/>
          <w:szCs w:val="15"/>
        </w:rPr>
        <w:t xml:space="preserve">  </w:t>
      </w:r>
      <w:r>
        <w:rPr>
          <w:rFonts w:hint="eastAsia"/>
          <w:sz w:val="15"/>
          <w:szCs w:val="15"/>
          <w:lang w:val="en-US" w:eastAsia="zh-CN"/>
        </w:rPr>
        <w:t>冀CA5163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