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朱艳文</w:t>
      </w:r>
      <w:r>
        <w:rPr>
          <w:rFonts w:hint="eastAsia"/>
          <w:sz w:val="15"/>
          <w:szCs w:val="15"/>
          <w:highlight w:val="none"/>
        </w:rPr>
        <w:t>，</w:t>
      </w:r>
      <w:r>
        <w:rPr>
          <w:rFonts w:hint="eastAsia"/>
          <w:sz w:val="15"/>
          <w:szCs w:val="15"/>
          <w:highlight w:val="none"/>
          <w:lang w:val="en-US" w:eastAsia="zh-CN"/>
        </w:rPr>
        <w:t>211282197906111813</w:t>
      </w:r>
      <w:r>
        <w:rPr>
          <w:rFonts w:hint="eastAsia"/>
          <w:sz w:val="15"/>
          <w:szCs w:val="15"/>
        </w:rPr>
        <w:t xml:space="preserve">  </w:t>
      </w:r>
      <w:r>
        <w:rPr>
          <w:rFonts w:hint="eastAsia"/>
          <w:sz w:val="15"/>
          <w:szCs w:val="15"/>
          <w:lang w:val="en-US" w:eastAsia="zh-CN"/>
        </w:rPr>
        <w:t>辽HN2818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