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刘永丽</w:t>
      </w:r>
      <w:r>
        <w:rPr>
          <w:rFonts w:hint="eastAsia"/>
          <w:sz w:val="15"/>
          <w:szCs w:val="15"/>
          <w:highlight w:val="none"/>
        </w:rPr>
        <w:t>，</w:t>
      </w:r>
      <w:r>
        <w:rPr>
          <w:rFonts w:hint="eastAsia"/>
          <w:sz w:val="15"/>
          <w:szCs w:val="15"/>
          <w:highlight w:val="none"/>
          <w:lang w:val="en-US" w:eastAsia="zh-CN"/>
        </w:rPr>
        <w:t>130131198311120065</w:t>
      </w:r>
      <w:r>
        <w:rPr>
          <w:rFonts w:hint="eastAsia"/>
          <w:sz w:val="15"/>
          <w:szCs w:val="15"/>
        </w:rPr>
        <w:t xml:space="preserve">  </w:t>
      </w:r>
      <w:r>
        <w:rPr>
          <w:rFonts w:hint="eastAsia"/>
          <w:sz w:val="15"/>
          <w:szCs w:val="15"/>
          <w:lang w:val="en-US" w:eastAsia="zh-CN"/>
        </w:rPr>
        <w:t>冀A1U544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