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张宇伟</w:t>
      </w:r>
      <w:r>
        <w:rPr>
          <w:rFonts w:hint="eastAsia"/>
          <w:sz w:val="15"/>
          <w:szCs w:val="15"/>
          <w:highlight w:val="none"/>
        </w:rPr>
        <w:t>，</w:t>
      </w:r>
      <w:r>
        <w:rPr>
          <w:rFonts w:hint="eastAsia"/>
          <w:sz w:val="15"/>
          <w:szCs w:val="15"/>
          <w:highlight w:val="none"/>
          <w:lang w:val="en-US" w:eastAsia="zh-CN"/>
        </w:rPr>
        <w:t>210111197302024231</w:t>
      </w:r>
      <w:r>
        <w:rPr>
          <w:rFonts w:hint="eastAsia"/>
          <w:sz w:val="15"/>
          <w:szCs w:val="15"/>
        </w:rPr>
        <w:t xml:space="preserve">  </w:t>
      </w:r>
      <w:r>
        <w:rPr>
          <w:rFonts w:hint="eastAsia"/>
          <w:sz w:val="15"/>
          <w:szCs w:val="15"/>
          <w:lang w:val="en-US" w:eastAsia="zh-CN"/>
        </w:rPr>
        <w:t>辽AEP799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