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刘全有</w:t>
      </w:r>
      <w:r>
        <w:rPr>
          <w:rFonts w:hint="eastAsia"/>
          <w:sz w:val="15"/>
          <w:szCs w:val="15"/>
          <w:highlight w:val="none"/>
        </w:rPr>
        <w:t>，</w:t>
      </w:r>
      <w:r>
        <w:rPr>
          <w:rFonts w:hint="eastAsia"/>
          <w:sz w:val="15"/>
          <w:szCs w:val="15"/>
          <w:highlight w:val="none"/>
          <w:lang w:val="en-US" w:eastAsia="zh-CN"/>
        </w:rPr>
        <w:t>132440196605231313</w:t>
      </w:r>
      <w:r>
        <w:rPr>
          <w:rFonts w:hint="eastAsia"/>
          <w:sz w:val="15"/>
          <w:szCs w:val="15"/>
        </w:rPr>
        <w:t xml:space="preserve">  </w:t>
      </w:r>
      <w:r>
        <w:rPr>
          <w:rFonts w:hint="eastAsia"/>
          <w:sz w:val="15"/>
          <w:szCs w:val="15"/>
          <w:lang w:val="en-US" w:eastAsia="zh-CN"/>
        </w:rPr>
        <w:t>冀A06Q52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