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严振生</w:t>
      </w:r>
      <w:r>
        <w:rPr>
          <w:rFonts w:hint="eastAsia"/>
          <w:sz w:val="15"/>
          <w:szCs w:val="15"/>
          <w:highlight w:val="none"/>
        </w:rPr>
        <w:t>，</w:t>
      </w:r>
      <w:r>
        <w:rPr>
          <w:rFonts w:hint="eastAsia"/>
          <w:sz w:val="15"/>
          <w:szCs w:val="15"/>
          <w:highlight w:val="none"/>
          <w:lang w:val="en-US" w:eastAsia="zh-CN"/>
        </w:rPr>
        <w:t>132325196606085232</w:t>
      </w:r>
      <w:r>
        <w:rPr>
          <w:rFonts w:hint="eastAsia"/>
          <w:sz w:val="15"/>
          <w:szCs w:val="15"/>
        </w:rPr>
        <w:t xml:space="preserve">  </w:t>
      </w:r>
      <w:r>
        <w:rPr>
          <w:rFonts w:hint="eastAsia"/>
          <w:sz w:val="15"/>
          <w:szCs w:val="15"/>
          <w:lang w:val="en-US" w:eastAsia="zh-CN"/>
        </w:rPr>
        <w:t>冀A933AN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