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李文慧</w:t>
      </w:r>
      <w:r>
        <w:rPr>
          <w:rFonts w:hint="eastAsia"/>
          <w:sz w:val="15"/>
          <w:szCs w:val="15"/>
          <w:highlight w:val="none"/>
        </w:rPr>
        <w:t>，</w:t>
      </w:r>
      <w:r>
        <w:rPr>
          <w:rFonts w:hint="eastAsia"/>
          <w:sz w:val="15"/>
          <w:szCs w:val="15"/>
          <w:highlight w:val="none"/>
          <w:lang w:val="en-US" w:eastAsia="zh-CN"/>
        </w:rPr>
        <w:t>130131198704106010</w:t>
      </w:r>
      <w:r>
        <w:rPr>
          <w:rFonts w:hint="eastAsia"/>
          <w:sz w:val="15"/>
          <w:szCs w:val="15"/>
        </w:rPr>
        <w:t xml:space="preserve">  </w:t>
      </w:r>
      <w:r>
        <w:rPr>
          <w:rFonts w:hint="eastAsia"/>
          <w:sz w:val="15"/>
          <w:szCs w:val="15"/>
          <w:lang w:val="en-US" w:eastAsia="zh-CN"/>
        </w:rPr>
        <w:t>冀A8047Y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