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谷言青</w:t>
      </w:r>
      <w:r>
        <w:rPr>
          <w:rFonts w:hint="eastAsia"/>
          <w:sz w:val="15"/>
          <w:szCs w:val="15"/>
          <w:highlight w:val="none"/>
        </w:rPr>
        <w:t>，</w:t>
      </w:r>
      <w:r>
        <w:rPr>
          <w:rFonts w:hint="eastAsia"/>
          <w:sz w:val="15"/>
          <w:szCs w:val="15"/>
          <w:highlight w:val="none"/>
          <w:lang w:val="en-US" w:eastAsia="zh-CN"/>
        </w:rPr>
        <w:t>130131199011014222</w:t>
      </w:r>
      <w:r>
        <w:rPr>
          <w:rFonts w:hint="eastAsia"/>
          <w:sz w:val="15"/>
          <w:szCs w:val="15"/>
        </w:rPr>
        <w:t xml:space="preserve">  </w:t>
      </w:r>
      <w:r>
        <w:rPr>
          <w:rFonts w:hint="eastAsia"/>
          <w:sz w:val="15"/>
          <w:szCs w:val="15"/>
          <w:lang w:val="en-US" w:eastAsia="zh-CN"/>
        </w:rPr>
        <w:t>冀A778DS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