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黄延龙</w:t>
      </w:r>
      <w:r>
        <w:rPr>
          <w:rFonts w:hint="eastAsia"/>
          <w:sz w:val="15"/>
          <w:szCs w:val="15"/>
          <w:highlight w:val="none"/>
        </w:rPr>
        <w:t>，</w:t>
      </w:r>
      <w:r>
        <w:rPr>
          <w:rFonts w:hint="eastAsia"/>
          <w:sz w:val="15"/>
          <w:szCs w:val="15"/>
          <w:highlight w:val="none"/>
          <w:lang w:val="en-US" w:eastAsia="zh-CN"/>
        </w:rPr>
        <w:t>130126198312053019</w:t>
      </w:r>
      <w:r>
        <w:rPr>
          <w:rFonts w:hint="eastAsia"/>
          <w:sz w:val="15"/>
          <w:szCs w:val="15"/>
        </w:rPr>
        <w:t xml:space="preserve">  </w:t>
      </w:r>
      <w:r>
        <w:rPr>
          <w:rFonts w:hint="eastAsia"/>
          <w:sz w:val="15"/>
          <w:szCs w:val="15"/>
          <w:lang w:val="en-US" w:eastAsia="zh-CN"/>
        </w:rPr>
        <w:t>冀A05921D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