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李帅军</w:t>
      </w:r>
      <w:r>
        <w:rPr>
          <w:rFonts w:hint="eastAsia"/>
          <w:sz w:val="15"/>
          <w:szCs w:val="15"/>
          <w:highlight w:val="none"/>
        </w:rPr>
        <w:t>，</w:t>
      </w:r>
      <w:r>
        <w:rPr>
          <w:rFonts w:hint="eastAsia"/>
          <w:sz w:val="15"/>
          <w:szCs w:val="15"/>
          <w:highlight w:val="none"/>
          <w:lang w:val="en-US" w:eastAsia="zh-CN"/>
        </w:rPr>
        <w:t>130123198911221513</w:t>
      </w:r>
      <w:r>
        <w:rPr>
          <w:rFonts w:hint="eastAsia"/>
          <w:sz w:val="15"/>
          <w:szCs w:val="15"/>
        </w:rPr>
        <w:t xml:space="preserve">  </w:t>
      </w:r>
      <w:r>
        <w:rPr>
          <w:rFonts w:hint="eastAsia"/>
          <w:sz w:val="15"/>
          <w:szCs w:val="15"/>
          <w:lang w:val="en-US" w:eastAsia="zh-CN"/>
        </w:rPr>
        <w:t>冀A735NF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