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崔振永</w:t>
      </w:r>
      <w:r>
        <w:rPr>
          <w:rFonts w:hint="eastAsia"/>
          <w:sz w:val="15"/>
          <w:szCs w:val="15"/>
          <w:highlight w:val="none"/>
        </w:rPr>
        <w:t>，</w:t>
      </w:r>
      <w:r>
        <w:rPr>
          <w:rFonts w:hint="eastAsia"/>
          <w:sz w:val="15"/>
          <w:szCs w:val="15"/>
          <w:highlight w:val="none"/>
          <w:lang w:val="en-US" w:eastAsia="zh-CN"/>
        </w:rPr>
        <w:t>13232519690721443X</w:t>
      </w:r>
      <w:r>
        <w:rPr>
          <w:rFonts w:hint="eastAsia"/>
          <w:sz w:val="15"/>
          <w:szCs w:val="15"/>
        </w:rPr>
        <w:t xml:space="preserve">  </w:t>
      </w:r>
      <w:r>
        <w:rPr>
          <w:rFonts w:hint="eastAsia"/>
          <w:sz w:val="15"/>
          <w:szCs w:val="15"/>
          <w:lang w:val="en-US" w:eastAsia="zh-CN"/>
        </w:rPr>
        <w:t>冀A892CQ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