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位豪杰</w:t>
      </w:r>
      <w:r>
        <w:rPr>
          <w:rFonts w:hint="eastAsia"/>
          <w:sz w:val="15"/>
          <w:szCs w:val="15"/>
          <w:highlight w:val="none"/>
        </w:rPr>
        <w:t>，</w:t>
      </w:r>
      <w:r>
        <w:rPr>
          <w:rFonts w:hint="eastAsia"/>
          <w:sz w:val="15"/>
          <w:szCs w:val="15"/>
          <w:highlight w:val="none"/>
          <w:lang w:val="en-US" w:eastAsia="zh-CN"/>
        </w:rPr>
        <w:t>412702197209151928</w:t>
      </w:r>
      <w:r>
        <w:rPr>
          <w:rFonts w:hint="eastAsia"/>
          <w:sz w:val="15"/>
          <w:szCs w:val="15"/>
        </w:rPr>
        <w:t xml:space="preserve">  </w:t>
      </w:r>
      <w:r>
        <w:rPr>
          <w:rFonts w:hint="eastAsia"/>
          <w:sz w:val="15"/>
          <w:szCs w:val="15"/>
          <w:lang w:val="en-US" w:eastAsia="zh-CN"/>
        </w:rPr>
        <w:t>冀A314VM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