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牟杏彬</w:t>
      </w:r>
      <w:r>
        <w:rPr>
          <w:rFonts w:hint="eastAsia"/>
          <w:sz w:val="15"/>
          <w:szCs w:val="15"/>
          <w:highlight w:val="none"/>
        </w:rPr>
        <w:t>，</w:t>
      </w:r>
      <w:r>
        <w:rPr>
          <w:rFonts w:hint="eastAsia"/>
          <w:sz w:val="15"/>
          <w:szCs w:val="15"/>
          <w:highlight w:val="none"/>
          <w:lang w:val="en-US" w:eastAsia="zh-CN"/>
        </w:rPr>
        <w:t>13242819770405333X</w:t>
      </w:r>
      <w:r>
        <w:rPr>
          <w:rFonts w:hint="eastAsia"/>
          <w:sz w:val="15"/>
          <w:szCs w:val="15"/>
        </w:rPr>
        <w:t xml:space="preserve">  </w:t>
      </w:r>
      <w:r>
        <w:rPr>
          <w:rFonts w:hint="eastAsia"/>
          <w:sz w:val="15"/>
          <w:szCs w:val="15"/>
          <w:lang w:val="en-US" w:eastAsia="zh-CN"/>
        </w:rPr>
        <w:t>冀FP6899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