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李立考</w:t>
      </w:r>
      <w:r>
        <w:rPr>
          <w:rFonts w:hint="eastAsia"/>
          <w:sz w:val="15"/>
          <w:szCs w:val="15"/>
          <w:highlight w:val="none"/>
        </w:rPr>
        <w:t>，</w:t>
      </w:r>
      <w:r>
        <w:rPr>
          <w:rFonts w:hint="eastAsia"/>
          <w:sz w:val="15"/>
          <w:szCs w:val="15"/>
          <w:highlight w:val="none"/>
          <w:lang w:val="en-US" w:eastAsia="zh-CN"/>
        </w:rPr>
        <w:t>132326197609181319</w:t>
      </w:r>
      <w:r>
        <w:rPr>
          <w:rFonts w:hint="eastAsia"/>
          <w:sz w:val="15"/>
          <w:szCs w:val="15"/>
        </w:rPr>
        <w:t xml:space="preserve">  </w:t>
      </w:r>
      <w:r>
        <w:rPr>
          <w:rFonts w:hint="eastAsia"/>
          <w:sz w:val="15"/>
          <w:szCs w:val="15"/>
          <w:lang w:val="en-US" w:eastAsia="zh-CN"/>
        </w:rPr>
        <w:t>冀A54885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