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张琳</w:t>
      </w:r>
      <w:r>
        <w:rPr>
          <w:rFonts w:hint="eastAsia"/>
          <w:sz w:val="15"/>
          <w:szCs w:val="15"/>
          <w:highlight w:val="none"/>
        </w:rPr>
        <w:t>，</w:t>
      </w:r>
      <w:r>
        <w:rPr>
          <w:rFonts w:hint="eastAsia"/>
          <w:sz w:val="15"/>
          <w:szCs w:val="15"/>
          <w:highlight w:val="none"/>
          <w:lang w:val="en-US" w:eastAsia="zh-CN"/>
        </w:rPr>
        <w:t>34032319710304223X</w:t>
      </w:r>
      <w:r>
        <w:rPr>
          <w:rFonts w:hint="eastAsia"/>
          <w:sz w:val="15"/>
          <w:szCs w:val="15"/>
        </w:rPr>
        <w:t xml:space="preserve">  </w:t>
      </w:r>
      <w:r>
        <w:rPr>
          <w:rFonts w:hint="eastAsia"/>
          <w:sz w:val="15"/>
          <w:szCs w:val="15"/>
          <w:lang w:val="en-US" w:eastAsia="zh-CN"/>
        </w:rPr>
        <w:t>冀FQ9990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