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齐利刚</w:t>
      </w:r>
      <w:r>
        <w:rPr>
          <w:rFonts w:hint="eastAsia"/>
          <w:sz w:val="15"/>
          <w:szCs w:val="15"/>
          <w:highlight w:val="none"/>
        </w:rPr>
        <w:t>，</w:t>
      </w:r>
      <w:r>
        <w:rPr>
          <w:rFonts w:hint="eastAsia"/>
          <w:sz w:val="15"/>
          <w:szCs w:val="15"/>
          <w:highlight w:val="none"/>
          <w:lang w:val="en-US" w:eastAsia="zh-CN"/>
        </w:rPr>
        <w:t>130121198008012819</w:t>
      </w:r>
      <w:r>
        <w:rPr>
          <w:rFonts w:hint="eastAsia"/>
          <w:sz w:val="15"/>
          <w:szCs w:val="15"/>
        </w:rPr>
        <w:t xml:space="preserve">  </w:t>
      </w:r>
      <w:r>
        <w:rPr>
          <w:rFonts w:hint="eastAsia"/>
          <w:sz w:val="15"/>
          <w:szCs w:val="15"/>
          <w:lang w:val="en-US" w:eastAsia="zh-CN"/>
        </w:rPr>
        <w:t>冀A06782D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