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刘二华</w:t>
      </w:r>
      <w:r>
        <w:rPr>
          <w:rFonts w:hint="eastAsia"/>
          <w:sz w:val="15"/>
          <w:szCs w:val="15"/>
          <w:highlight w:val="none"/>
        </w:rPr>
        <w:t>，</w:t>
      </w:r>
      <w:r>
        <w:rPr>
          <w:rFonts w:hint="eastAsia"/>
          <w:sz w:val="15"/>
          <w:szCs w:val="15"/>
          <w:highlight w:val="none"/>
          <w:lang w:val="en-US" w:eastAsia="zh-CN"/>
        </w:rPr>
        <w:t>130182198210025333</w:t>
      </w:r>
      <w:r>
        <w:rPr>
          <w:rFonts w:hint="eastAsia"/>
          <w:sz w:val="15"/>
          <w:szCs w:val="15"/>
        </w:rPr>
        <w:t xml:space="preserve">  </w:t>
      </w:r>
      <w:r>
        <w:rPr>
          <w:rFonts w:hint="eastAsia"/>
          <w:sz w:val="15"/>
          <w:szCs w:val="15"/>
          <w:lang w:val="en-US" w:eastAsia="zh-CN"/>
        </w:rPr>
        <w:t>冀A90T00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