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张露娟</w:t>
      </w:r>
      <w:r>
        <w:rPr>
          <w:rFonts w:hint="eastAsia"/>
          <w:sz w:val="15"/>
          <w:szCs w:val="15"/>
          <w:highlight w:val="none"/>
        </w:rPr>
        <w:t>，</w:t>
      </w:r>
      <w:r>
        <w:rPr>
          <w:rFonts w:hint="eastAsia"/>
          <w:sz w:val="15"/>
          <w:szCs w:val="15"/>
          <w:highlight w:val="none"/>
          <w:lang w:val="en-US" w:eastAsia="zh-CN"/>
        </w:rPr>
        <w:t>130133197901091821</w:t>
      </w:r>
      <w:r>
        <w:rPr>
          <w:rFonts w:hint="eastAsia"/>
          <w:sz w:val="15"/>
          <w:szCs w:val="15"/>
        </w:rPr>
        <w:t xml:space="preserve">  </w:t>
      </w:r>
      <w:r>
        <w:rPr>
          <w:rFonts w:hint="eastAsia"/>
          <w:sz w:val="15"/>
          <w:szCs w:val="15"/>
          <w:lang w:val="en-US" w:eastAsia="zh-CN"/>
        </w:rPr>
        <w:t>冀A516EG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