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王增卫</w:t>
      </w:r>
      <w:r>
        <w:rPr>
          <w:rFonts w:hint="eastAsia"/>
          <w:sz w:val="15"/>
          <w:szCs w:val="15"/>
          <w:highlight w:val="none"/>
        </w:rPr>
        <w:t>，</w:t>
      </w:r>
      <w:r>
        <w:rPr>
          <w:rFonts w:hint="eastAsia"/>
          <w:sz w:val="15"/>
          <w:szCs w:val="15"/>
          <w:highlight w:val="none"/>
          <w:lang w:val="en-US" w:eastAsia="zh-CN"/>
        </w:rPr>
        <w:t>130126198210010018</w:t>
      </w:r>
      <w:r>
        <w:rPr>
          <w:rFonts w:hint="eastAsia"/>
          <w:sz w:val="15"/>
          <w:szCs w:val="15"/>
        </w:rPr>
        <w:t xml:space="preserve">  </w:t>
      </w:r>
      <w:r>
        <w:rPr>
          <w:rFonts w:hint="eastAsia"/>
          <w:sz w:val="15"/>
          <w:szCs w:val="15"/>
          <w:lang w:val="en-US" w:eastAsia="zh-CN"/>
        </w:rPr>
        <w:t>冀AKN289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