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3713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董泽亮</w:t>
      </w:r>
      <w:r>
        <w:rPr>
          <w:rFonts w:hint="eastAsia"/>
          <w:sz w:val="15"/>
          <w:szCs w:val="15"/>
          <w:highlight w:val="none"/>
        </w:rPr>
        <w:t>，</w:t>
      </w:r>
      <w:r>
        <w:rPr>
          <w:rFonts w:hint="eastAsia"/>
          <w:sz w:val="15"/>
          <w:szCs w:val="15"/>
          <w:highlight w:val="none"/>
          <w:lang w:val="en-US" w:eastAsia="zh-CN"/>
        </w:rPr>
        <w:t>130123199807217519</w:t>
      </w:r>
      <w:r>
        <w:rPr>
          <w:rFonts w:hint="eastAsia"/>
          <w:sz w:val="15"/>
          <w:szCs w:val="15"/>
        </w:rPr>
        <w:t xml:space="preserve">  </w:t>
      </w:r>
      <w:r>
        <w:rPr>
          <w:rFonts w:hint="eastAsia"/>
          <w:sz w:val="15"/>
          <w:szCs w:val="15"/>
          <w:lang w:val="en-US" w:eastAsia="zh-CN"/>
        </w:rPr>
        <w:t>冀A96193</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