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刘书刚</w:t>
      </w:r>
      <w:r>
        <w:rPr>
          <w:rFonts w:hint="eastAsia"/>
          <w:sz w:val="15"/>
          <w:szCs w:val="15"/>
          <w:highlight w:val="none"/>
        </w:rPr>
        <w:t>，</w:t>
      </w:r>
      <w:r>
        <w:rPr>
          <w:rFonts w:hint="eastAsia"/>
          <w:sz w:val="15"/>
          <w:szCs w:val="15"/>
          <w:highlight w:val="none"/>
          <w:lang w:val="en-US" w:eastAsia="zh-CN"/>
        </w:rPr>
        <w:t>130123198111053611</w:t>
      </w:r>
      <w:r>
        <w:rPr>
          <w:rFonts w:hint="eastAsia"/>
          <w:sz w:val="15"/>
          <w:szCs w:val="15"/>
        </w:rPr>
        <w:t xml:space="preserve">  </w:t>
      </w:r>
      <w:r>
        <w:rPr>
          <w:rFonts w:hint="eastAsia"/>
          <w:sz w:val="15"/>
          <w:szCs w:val="15"/>
          <w:lang w:val="en-US" w:eastAsia="zh-CN"/>
        </w:rPr>
        <w:t>冀A79879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