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赵杨杨</w:t>
      </w:r>
      <w:r>
        <w:rPr>
          <w:rFonts w:hint="eastAsia"/>
          <w:sz w:val="15"/>
          <w:szCs w:val="15"/>
          <w:highlight w:val="none"/>
        </w:rPr>
        <w:t>，</w:t>
      </w:r>
      <w:r>
        <w:rPr>
          <w:rFonts w:hint="eastAsia"/>
          <w:sz w:val="15"/>
          <w:szCs w:val="15"/>
          <w:highlight w:val="none"/>
          <w:lang w:val="en-US" w:eastAsia="zh-CN"/>
        </w:rPr>
        <w:t>13018219930208532X</w:t>
      </w:r>
      <w:r>
        <w:rPr>
          <w:rFonts w:hint="eastAsia"/>
          <w:sz w:val="15"/>
          <w:szCs w:val="15"/>
        </w:rPr>
        <w:t xml:space="preserve">  </w:t>
      </w:r>
      <w:r>
        <w:rPr>
          <w:rFonts w:hint="eastAsia"/>
          <w:sz w:val="15"/>
          <w:szCs w:val="15"/>
          <w:lang w:val="en-US" w:eastAsia="zh-CN"/>
        </w:rPr>
        <w:t>冀A57421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