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王富超</w:t>
      </w:r>
      <w:r>
        <w:rPr>
          <w:rFonts w:hint="eastAsia"/>
          <w:sz w:val="15"/>
          <w:szCs w:val="15"/>
          <w:highlight w:val="none"/>
        </w:rPr>
        <w:t>，</w:t>
      </w:r>
      <w:r>
        <w:rPr>
          <w:rFonts w:hint="eastAsia"/>
          <w:sz w:val="15"/>
          <w:szCs w:val="15"/>
          <w:highlight w:val="none"/>
          <w:lang w:val="en-US" w:eastAsia="zh-CN"/>
        </w:rPr>
        <w:t>130622198211094817</w:t>
      </w:r>
      <w:r>
        <w:rPr>
          <w:rFonts w:hint="eastAsia"/>
          <w:sz w:val="15"/>
          <w:szCs w:val="15"/>
        </w:rPr>
        <w:t xml:space="preserve">  </w:t>
      </w:r>
      <w:r>
        <w:rPr>
          <w:rFonts w:hint="eastAsia"/>
          <w:sz w:val="15"/>
          <w:szCs w:val="15"/>
          <w:lang w:val="en-US" w:eastAsia="zh-CN"/>
        </w:rPr>
        <w:t>冀FR9052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