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李伟</w:t>
      </w:r>
      <w:r>
        <w:rPr>
          <w:rFonts w:hint="eastAsia"/>
          <w:sz w:val="15"/>
          <w:szCs w:val="15"/>
          <w:highlight w:val="none"/>
        </w:rPr>
        <w:t>，</w:t>
      </w:r>
      <w:r>
        <w:rPr>
          <w:rFonts w:hint="eastAsia"/>
          <w:sz w:val="15"/>
          <w:szCs w:val="15"/>
          <w:highlight w:val="none"/>
          <w:lang w:val="en-US" w:eastAsia="zh-CN"/>
        </w:rPr>
        <w:t>130131198506291817</w:t>
      </w:r>
      <w:r>
        <w:rPr>
          <w:rFonts w:hint="eastAsia"/>
          <w:sz w:val="15"/>
          <w:szCs w:val="15"/>
        </w:rPr>
        <w:t xml:space="preserve">  </w:t>
      </w:r>
      <w:r>
        <w:rPr>
          <w:rFonts w:hint="eastAsia"/>
          <w:sz w:val="15"/>
          <w:szCs w:val="15"/>
          <w:lang w:val="en-US" w:eastAsia="zh-CN"/>
        </w:rPr>
        <w:t>冀A84356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