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白郢</w:t>
      </w:r>
      <w:r>
        <w:rPr>
          <w:rFonts w:hint="eastAsia"/>
          <w:sz w:val="15"/>
          <w:szCs w:val="15"/>
          <w:highlight w:val="none"/>
        </w:rPr>
        <w:t>，</w:t>
      </w:r>
      <w:r>
        <w:rPr>
          <w:rFonts w:hint="eastAsia"/>
          <w:sz w:val="15"/>
          <w:szCs w:val="15"/>
          <w:highlight w:val="none"/>
          <w:lang w:val="en-US" w:eastAsia="zh-CN"/>
        </w:rPr>
        <w:t>210105197212085316</w:t>
      </w:r>
      <w:r>
        <w:rPr>
          <w:rFonts w:hint="eastAsia"/>
          <w:sz w:val="15"/>
          <w:szCs w:val="15"/>
        </w:rPr>
        <w:t xml:space="preserve">  </w:t>
      </w:r>
      <w:r>
        <w:rPr>
          <w:rFonts w:hint="eastAsia"/>
          <w:sz w:val="15"/>
          <w:szCs w:val="15"/>
          <w:lang w:val="en-US" w:eastAsia="zh-CN"/>
        </w:rPr>
        <w:t>冀J06899D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