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刘县良</w:t>
      </w:r>
      <w:r>
        <w:rPr>
          <w:rFonts w:hint="eastAsia"/>
          <w:sz w:val="15"/>
          <w:szCs w:val="15"/>
          <w:highlight w:val="none"/>
        </w:rPr>
        <w:t>，</w:t>
      </w:r>
      <w:r>
        <w:rPr>
          <w:rFonts w:hint="eastAsia"/>
          <w:sz w:val="15"/>
          <w:szCs w:val="15"/>
          <w:highlight w:val="none"/>
          <w:lang w:val="en-US" w:eastAsia="zh-CN"/>
        </w:rPr>
        <w:t>13063419750930091X</w:t>
      </w:r>
      <w:r>
        <w:rPr>
          <w:rFonts w:hint="eastAsia"/>
          <w:sz w:val="15"/>
          <w:szCs w:val="15"/>
        </w:rPr>
        <w:t xml:space="preserve">  </w:t>
      </w:r>
      <w:r>
        <w:rPr>
          <w:rFonts w:hint="eastAsia"/>
          <w:sz w:val="15"/>
          <w:szCs w:val="15"/>
          <w:lang w:val="en-US" w:eastAsia="zh-CN"/>
        </w:rPr>
        <w:t>冀FT4527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