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陈振江</w:t>
      </w:r>
      <w:r>
        <w:rPr>
          <w:rFonts w:hint="eastAsia"/>
          <w:sz w:val="15"/>
          <w:szCs w:val="15"/>
          <w:highlight w:val="none"/>
        </w:rPr>
        <w:t>，</w:t>
      </w:r>
      <w:r>
        <w:rPr>
          <w:rFonts w:hint="eastAsia"/>
          <w:sz w:val="15"/>
          <w:szCs w:val="15"/>
          <w:highlight w:val="none"/>
          <w:lang w:val="en-US" w:eastAsia="zh-CN"/>
        </w:rPr>
        <w:t>130427197404132118</w:t>
      </w:r>
      <w:r>
        <w:rPr>
          <w:rFonts w:hint="eastAsia"/>
          <w:sz w:val="15"/>
          <w:szCs w:val="15"/>
        </w:rPr>
        <w:t xml:space="preserve">  </w:t>
      </w:r>
      <w:r>
        <w:rPr>
          <w:rFonts w:hint="eastAsia"/>
          <w:sz w:val="15"/>
          <w:szCs w:val="15"/>
          <w:lang w:val="en-US" w:eastAsia="zh-CN"/>
        </w:rPr>
        <w:t>冀D09412D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