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范江伟</w:t>
      </w:r>
      <w:r>
        <w:rPr>
          <w:rFonts w:hint="eastAsia"/>
          <w:sz w:val="15"/>
          <w:szCs w:val="15"/>
          <w:highlight w:val="none"/>
        </w:rPr>
        <w:t>，</w:t>
      </w:r>
      <w:r>
        <w:rPr>
          <w:rFonts w:hint="eastAsia"/>
          <w:sz w:val="15"/>
          <w:szCs w:val="15"/>
          <w:highlight w:val="none"/>
          <w:lang w:val="en-US" w:eastAsia="zh-CN"/>
        </w:rPr>
        <w:t>13013119831128211X</w:t>
      </w:r>
      <w:r>
        <w:rPr>
          <w:rFonts w:hint="eastAsia"/>
          <w:sz w:val="15"/>
          <w:szCs w:val="15"/>
        </w:rPr>
        <w:t xml:space="preserve">  </w:t>
      </w:r>
      <w:r>
        <w:rPr>
          <w:rFonts w:hint="eastAsia"/>
          <w:sz w:val="15"/>
          <w:szCs w:val="15"/>
          <w:lang w:val="en-US" w:eastAsia="zh-CN"/>
        </w:rPr>
        <w:t>冀A03439D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