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庞振辉</w:t>
      </w:r>
      <w:r>
        <w:rPr>
          <w:rFonts w:hint="eastAsia"/>
          <w:sz w:val="15"/>
          <w:szCs w:val="15"/>
          <w:highlight w:val="none"/>
        </w:rPr>
        <w:t>，</w:t>
      </w:r>
      <w:r>
        <w:rPr>
          <w:rFonts w:hint="eastAsia"/>
          <w:sz w:val="15"/>
          <w:szCs w:val="15"/>
          <w:highlight w:val="none"/>
          <w:lang w:val="en-US" w:eastAsia="zh-CN"/>
        </w:rPr>
        <w:t>130622197507015810</w:t>
      </w:r>
      <w:r>
        <w:rPr>
          <w:rFonts w:hint="eastAsia"/>
          <w:sz w:val="15"/>
          <w:szCs w:val="15"/>
        </w:rPr>
        <w:t xml:space="preserve">  </w:t>
      </w:r>
      <w:r>
        <w:rPr>
          <w:rFonts w:hint="eastAsia"/>
          <w:sz w:val="15"/>
          <w:szCs w:val="15"/>
          <w:lang w:val="en-US" w:eastAsia="zh-CN"/>
        </w:rPr>
        <w:t>冀FP3210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