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田鹏</w:t>
      </w:r>
      <w:r>
        <w:rPr>
          <w:rFonts w:hint="eastAsia"/>
          <w:sz w:val="15"/>
          <w:szCs w:val="15"/>
          <w:highlight w:val="none"/>
        </w:rPr>
        <w:t>，</w:t>
      </w:r>
      <w:r>
        <w:rPr>
          <w:rFonts w:hint="eastAsia"/>
          <w:sz w:val="15"/>
          <w:szCs w:val="15"/>
          <w:highlight w:val="none"/>
          <w:lang w:val="en-US" w:eastAsia="zh-CN"/>
        </w:rPr>
        <w:t>132329198101243017</w:t>
      </w:r>
      <w:r>
        <w:rPr>
          <w:rFonts w:hint="eastAsia"/>
          <w:sz w:val="15"/>
          <w:szCs w:val="15"/>
        </w:rPr>
        <w:t xml:space="preserve">  </w:t>
      </w:r>
      <w:r>
        <w:rPr>
          <w:rFonts w:hint="eastAsia"/>
          <w:sz w:val="15"/>
          <w:szCs w:val="15"/>
          <w:lang w:val="en-US" w:eastAsia="zh-CN"/>
        </w:rPr>
        <w:t>冀A2401W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