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刘玉虎</w:t>
      </w:r>
      <w:r>
        <w:rPr>
          <w:rFonts w:hint="eastAsia"/>
          <w:sz w:val="15"/>
          <w:szCs w:val="15"/>
          <w:highlight w:val="none"/>
        </w:rPr>
        <w:t>，</w:t>
      </w:r>
      <w:r>
        <w:rPr>
          <w:rFonts w:hint="eastAsia"/>
          <w:sz w:val="15"/>
          <w:szCs w:val="15"/>
          <w:highlight w:val="none"/>
          <w:lang w:val="en-US" w:eastAsia="zh-CN"/>
        </w:rPr>
        <w:t>13018419850125303X</w:t>
      </w:r>
      <w:r>
        <w:rPr>
          <w:rFonts w:hint="eastAsia"/>
          <w:sz w:val="15"/>
          <w:szCs w:val="15"/>
        </w:rPr>
        <w:t xml:space="preserve">  </w:t>
      </w:r>
      <w:r>
        <w:rPr>
          <w:rFonts w:hint="eastAsia"/>
          <w:sz w:val="15"/>
          <w:szCs w:val="15"/>
          <w:lang w:val="en-US" w:eastAsia="zh-CN"/>
        </w:rPr>
        <w:t>冀A35731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